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68" w:rsidRDefault="001F3568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493" w:type="dxa"/>
        <w:tblLayout w:type="fixed"/>
        <w:tblLook w:val="0000" w:firstRow="0" w:lastRow="0" w:firstColumn="0" w:lastColumn="0" w:noHBand="0" w:noVBand="0"/>
      </w:tblPr>
      <w:tblGrid>
        <w:gridCol w:w="3823"/>
        <w:gridCol w:w="5670"/>
      </w:tblGrid>
      <w:tr w:rsidR="001F3568">
        <w:tc>
          <w:tcPr>
            <w:tcW w:w="3823" w:type="dxa"/>
          </w:tcPr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ĐÀ NẴNG</w:t>
            </w:r>
          </w:p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KINH TẾ</w: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177800</wp:posOffset>
                      </wp:positionV>
                      <wp:extent cx="13843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0675" y="378000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1CC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pt;margin-top:14pt;width:10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1F3568" w:rsidRDefault="00695A6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7380E">
              <w:rPr>
                <w:rFonts w:ascii="Times New Roman" w:eastAsia="Times New Roman" w:hAnsi="Times New Roman" w:cs="Times New Roman"/>
                <w:sz w:val="26"/>
                <w:szCs w:val="26"/>
              </w:rPr>
              <w:t>1043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/ĐHKT-KH</w: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406400</wp:posOffset>
                      </wp:positionH>
                      <wp:positionV relativeFrom="paragraph">
                        <wp:posOffset>12700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983DA" id="Straight Arrow Connector 1" o:spid="_x0000_s1026" type="#_x0000_t32" style="position:absolute;margin-left:32pt;margin-top:1pt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" strokecolor="#5b9bd5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2016-2017</w:t>
            </w:r>
          </w:p>
        </w:tc>
        <w:tc>
          <w:tcPr>
            <w:tcW w:w="5670" w:type="dxa"/>
          </w:tcPr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F3568" w:rsidRDefault="0047380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Nẵng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15</w:t>
            </w:r>
            <w:r w:rsidR="00695A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95A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695A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8 </w:t>
            </w:r>
            <w:proofErr w:type="spellStart"/>
            <w:r w:rsidR="00695A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695A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2017</w:t>
            </w:r>
            <w:r w:rsidR="00695A6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698500</wp:posOffset>
                      </wp:positionH>
                      <wp:positionV relativeFrom="paragraph">
                        <wp:posOffset>25400</wp:posOffset>
                      </wp:positionV>
                      <wp:extent cx="20320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B5533" id="Straight Arrow Connector 3" o:spid="_x0000_s1026" type="#_x0000_t32" style="position:absolute;margin-left:55pt;margin-top:2pt;width:160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F3568" w:rsidRDefault="001F356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695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1F3568" w:rsidRDefault="00695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3568" w:rsidRDefault="00695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3568" w:rsidRDefault="00695A6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2016-2017,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47/2014/TT-BGDĐT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4043/QĐ-ĐHĐN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3568" w:rsidRDefault="00695A6E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    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2016-2017,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01/08/2016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31/07/2017,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(M1-Bảng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4043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(M2 -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(6)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(38).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…)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QĐ 4043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F20EA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color w:val="0F20EA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F20EA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color w:val="0F20EA"/>
          <w:sz w:val="26"/>
          <w:szCs w:val="26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b/>
          <w:color w:val="0F20EA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(M3-Tổng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&amp; HTQT (khoahoc@due.edu.vn).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in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&amp; HTQT.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NCKH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&amp; HTQT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17h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2017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NCKH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BD0">
        <w:rPr>
          <w:rFonts w:ascii="Times New Roman" w:eastAsia="Times New Roman" w:hAnsi="Times New Roman" w:cs="Times New Roman"/>
          <w:sz w:val="26"/>
          <w:szCs w:val="26"/>
        </w:rPr>
        <w:t>NCKH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6BD0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F26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6BD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F26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6BD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F26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6BD0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="008127C4">
        <w:rPr>
          <w:rFonts w:ascii="Times New Roman" w:eastAsia="Times New Roman" w:hAnsi="Times New Roman" w:cs="Times New Roman"/>
          <w:sz w:val="26"/>
          <w:szCs w:val="26"/>
        </w:rPr>
        <w:t>:1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NCKH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7C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12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127C4">
        <w:rPr>
          <w:rFonts w:ascii="Times New Roman" w:eastAsia="Times New Roman" w:hAnsi="Times New Roman" w:cs="Times New Roman"/>
          <w:sz w:val="26"/>
          <w:szCs w:val="26"/>
        </w:rPr>
        <w:t>theo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End"/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062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F3568">
        <w:tc>
          <w:tcPr>
            <w:tcW w:w="4531" w:type="dxa"/>
          </w:tcPr>
          <w:p w:rsidR="001F3568" w:rsidRDefault="0069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F3568" w:rsidRDefault="0069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F3568" w:rsidRDefault="0069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b/c);</w:t>
            </w:r>
          </w:p>
          <w:p w:rsidR="001F3568" w:rsidRDefault="0069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P.KH&amp;HTQT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1" w:type="dxa"/>
          </w:tcPr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1F3568" w:rsidRDefault="001F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568" w:rsidRDefault="001F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568" w:rsidRDefault="001F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568" w:rsidRDefault="001F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568" w:rsidRDefault="001F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568" w:rsidRDefault="0069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PGS.TS.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Anh</w:t>
            </w:r>
            <w:proofErr w:type="spellEnd"/>
          </w:p>
        </w:tc>
      </w:tr>
    </w:tbl>
    <w:p w:rsidR="001F3568" w:rsidRDefault="00695A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568" w:rsidRDefault="001F3568" w:rsidP="00B05C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F3568">
      <w:pgSz w:w="11907" w:h="16839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04E8"/>
    <w:multiLevelType w:val="multilevel"/>
    <w:tmpl w:val="AC501E22"/>
    <w:lvl w:ilvl="0"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68"/>
    <w:rsid w:val="001F3568"/>
    <w:rsid w:val="0047380E"/>
    <w:rsid w:val="00695A6E"/>
    <w:rsid w:val="008127C4"/>
    <w:rsid w:val="00AD257B"/>
    <w:rsid w:val="00B05C2D"/>
    <w:rsid w:val="00F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B79FC-C9A8-4CED-AC67-E8E67544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Ha</dc:creator>
  <cp:lastModifiedBy>Administrator</cp:lastModifiedBy>
  <cp:revision>5</cp:revision>
  <cp:lastPrinted>2017-08-15T08:56:00Z</cp:lastPrinted>
  <dcterms:created xsi:type="dcterms:W3CDTF">2017-08-11T09:48:00Z</dcterms:created>
  <dcterms:modified xsi:type="dcterms:W3CDTF">2017-08-15T09:09:00Z</dcterms:modified>
</cp:coreProperties>
</file>